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E4F5" w14:textId="745D99CE" w:rsidR="00CC2CE5" w:rsidRPr="002871EB" w:rsidRDefault="001A4877" w:rsidP="009F07A6">
      <w:pPr>
        <w:tabs>
          <w:tab w:val="left" w:pos="1156"/>
        </w:tabs>
        <w:rPr>
          <w:sz w:val="24"/>
          <w:szCs w:val="24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166B2" wp14:editId="67EDA104">
                <wp:simplePos x="0" y="0"/>
                <wp:positionH relativeFrom="column">
                  <wp:posOffset>5195248</wp:posOffset>
                </wp:positionH>
                <wp:positionV relativeFrom="paragraph">
                  <wp:posOffset>123190</wp:posOffset>
                </wp:positionV>
                <wp:extent cx="1188085" cy="159067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917" w14:textId="77777777" w:rsidR="00E72289" w:rsidRPr="0061098D" w:rsidRDefault="005F1FD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DAS BAU- UND</w:t>
                            </w:r>
                            <w:r w:rsidRPr="0061098D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br/>
                              <w:t>AUSBAUHANDWERK</w:t>
                            </w:r>
                          </w:p>
                          <w:p w14:paraId="1D86C356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560074C3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Hausanschrift:</w:t>
                            </w:r>
                          </w:p>
                          <w:p w14:paraId="6A8C315B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Baumschulenallee 12</w:t>
                            </w:r>
                          </w:p>
                          <w:p w14:paraId="1F4E6C11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30625 Hannover</w:t>
                            </w:r>
                          </w:p>
                          <w:p w14:paraId="1E949342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4E1FE9A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Postanschrift:</w:t>
                            </w:r>
                          </w:p>
                          <w:p w14:paraId="2CF1398E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Postfach 61 01 69</w:t>
                            </w:r>
                          </w:p>
                          <w:p w14:paraId="3D39CDBC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30601 Hannover</w:t>
                            </w:r>
                          </w:p>
                          <w:p w14:paraId="6D967445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3FF76624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Telefon: (0511) 957 57 – 60</w:t>
                            </w:r>
                          </w:p>
                          <w:p w14:paraId="11163C49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Telefax: (0511) 957 57 – 40</w:t>
                            </w:r>
                          </w:p>
                          <w:p w14:paraId="1D1381C1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0659CA9" w14:textId="77777777" w:rsidR="005F1FD0" w:rsidRPr="0061098D" w:rsidRDefault="005F1FD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61098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E-Mail: kontakt@lv-bau.de</w:t>
                            </w:r>
                          </w:p>
                          <w:p w14:paraId="2537C72E" w14:textId="77777777" w:rsidR="00EC59DF" w:rsidRDefault="00850FF9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hyperlink r:id="rId7" w:history="1">
                              <w:r w:rsidR="00EC59DF" w:rsidRPr="00697A31">
                                <w:rPr>
                                  <w:rStyle w:val="Hyperlink"/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  <w:t>www.lv-bauwirtschaft.de</w:t>
                              </w:r>
                            </w:hyperlink>
                          </w:p>
                          <w:p w14:paraId="67E0E3A2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3989B956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7397D8E7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23690CC2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01B2541" w14:textId="77777777" w:rsidR="005F1FD0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E1E4538" wp14:editId="4A5263CA">
                                  <wp:extent cx="495837" cy="678919"/>
                                  <wp:effectExtent l="0" t="0" r="0" b="698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034" cy="679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0D99E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0598CA5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56754E5D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5CB0C2E" wp14:editId="699F2BB5">
                                  <wp:extent cx="772733" cy="586750"/>
                                  <wp:effectExtent l="0" t="0" r="8890" b="381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431" cy="58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4C1701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B1B7DAC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08B0F027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06F9B248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34392AC8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A5CA748" wp14:editId="6F8A378A">
                                  <wp:extent cx="720801" cy="708338"/>
                                  <wp:effectExtent l="0" t="0" r="3175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524" cy="710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AFE18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5C62A47A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F4CBA48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D932D74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81A6CA" wp14:editId="1CE85E63">
                                  <wp:extent cx="900385" cy="656822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404" cy="65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43980E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62D0D8E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596DCA77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63FD14D0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979CEFD" wp14:editId="71067D46">
                                  <wp:extent cx="510746" cy="611746"/>
                                  <wp:effectExtent l="0" t="0" r="3810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240" cy="612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146ABE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D4FEC8A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0E324B2B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00DD91" wp14:editId="3940D653">
                                  <wp:extent cx="773882" cy="1416676"/>
                                  <wp:effectExtent l="0" t="0" r="762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765" cy="1425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A6CB7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05A975E3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511C2AEE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0A7BF68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76AEF0B" wp14:editId="2C613803">
                                  <wp:extent cx="723983" cy="682580"/>
                                  <wp:effectExtent l="0" t="0" r="0" b="3810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0" cy="684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6D58A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4A1B0A64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0A6A7087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306BA87C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2D2B74CA" w14:textId="77777777" w:rsidR="00EC59DF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772C37C1" w14:textId="77777777" w:rsidR="00EC59DF" w:rsidRPr="0061098D" w:rsidRDefault="00EC59D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166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9.05pt;margin-top:9.7pt;width:93.55pt;height:12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" stroked="f">
                <v:textbox style="mso-fit-shape-to-text:t">
                  <w:txbxContent>
                    <w:p w14:paraId="113E4917" w14:textId="77777777" w:rsidR="00E72289" w:rsidRPr="0061098D" w:rsidRDefault="005F1FD0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2"/>
                          <w:szCs w:val="12"/>
                        </w:rPr>
                        <w:t>DAS BAU- UND</w:t>
                      </w:r>
                      <w:r w:rsidRPr="0061098D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12"/>
                          <w:szCs w:val="12"/>
                        </w:rPr>
                        <w:br/>
                        <w:t>AUSBAUHANDWERK</w:t>
                      </w:r>
                    </w:p>
                    <w:p w14:paraId="1D86C356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560074C3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Hausanschrift:</w:t>
                      </w:r>
                    </w:p>
                    <w:p w14:paraId="6A8C315B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Baumschulenallee 12</w:t>
                      </w:r>
                    </w:p>
                    <w:p w14:paraId="1F4E6C11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30625 Hannover</w:t>
                      </w:r>
                    </w:p>
                    <w:p w14:paraId="1E949342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4E1FE9A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Postanschrift:</w:t>
                      </w:r>
                    </w:p>
                    <w:p w14:paraId="2CF1398E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Postfach 61 01 69</w:t>
                      </w:r>
                    </w:p>
                    <w:p w14:paraId="3D39CDBC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30601 Hannover</w:t>
                      </w:r>
                    </w:p>
                    <w:p w14:paraId="6D967445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3FF76624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Telefon: (0511) 957 57 – 60</w:t>
                      </w:r>
                    </w:p>
                    <w:p w14:paraId="11163C49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Telefax: (0511) 957 57 – 40</w:t>
                      </w:r>
                    </w:p>
                    <w:p w14:paraId="1D1381C1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10659CA9" w14:textId="77777777" w:rsidR="005F1FD0" w:rsidRPr="0061098D" w:rsidRDefault="005F1FD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61098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  <w:t>E-Mail: kontakt@lv-bau.de</w:t>
                      </w:r>
                    </w:p>
                    <w:p w14:paraId="2537C72E" w14:textId="77777777" w:rsidR="00EC59DF" w:rsidRDefault="00850FF9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hyperlink r:id="rId15" w:history="1">
                        <w:r w:rsidR="00EC59DF" w:rsidRPr="00697A31">
                          <w:rPr>
                            <w:rStyle w:val="Hyperlink"/>
                            <w:rFonts w:asciiTheme="minorHAnsi" w:hAnsiTheme="minorHAnsi" w:cstheme="minorHAnsi"/>
                            <w:sz w:val="12"/>
                            <w:szCs w:val="12"/>
                          </w:rPr>
                          <w:t>www.lv-bauwirtschaft.de</w:t>
                        </w:r>
                      </w:hyperlink>
                    </w:p>
                    <w:p w14:paraId="67E0E3A2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3989B956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7397D8E7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23690CC2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101B2541" w14:textId="77777777" w:rsidR="005F1FD0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E1E4538" wp14:editId="4A5263CA">
                            <wp:extent cx="495837" cy="678919"/>
                            <wp:effectExtent l="0" t="0" r="0" b="698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034" cy="679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0D99E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10598CA5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56754E5D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5CB0C2E" wp14:editId="699F2BB5">
                            <wp:extent cx="772733" cy="586750"/>
                            <wp:effectExtent l="0" t="0" r="8890" b="381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431" cy="58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4C1701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1B1B7DAC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08B0F027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06F9B248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34392AC8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A5CA748" wp14:editId="6F8A378A">
                            <wp:extent cx="720801" cy="708338"/>
                            <wp:effectExtent l="0" t="0" r="3175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524" cy="710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AFE18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5C62A47A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F4CBA48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D932D74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81A6CA" wp14:editId="1CE85E63">
                            <wp:extent cx="900385" cy="656822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404" cy="65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43980E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162D0D8E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596DCA77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63FD14D0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979CEFD" wp14:editId="71067D46">
                            <wp:extent cx="510746" cy="611746"/>
                            <wp:effectExtent l="0" t="0" r="3810" b="0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240" cy="612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146ABE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D4FEC8A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0E324B2B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100DD91" wp14:editId="3940D653">
                            <wp:extent cx="773882" cy="1416676"/>
                            <wp:effectExtent l="0" t="0" r="762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765" cy="1425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A6CB7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05A975E3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511C2AEE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0A7BF68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76AEF0B" wp14:editId="2C613803">
                            <wp:extent cx="723983" cy="682580"/>
                            <wp:effectExtent l="0" t="0" r="0" b="3810"/>
                            <wp:docPr id="16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0" cy="684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6D58A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4A1B0A64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0A6A7087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306BA87C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2D2B74CA" w14:textId="77777777" w:rsidR="00EC59DF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772C37C1" w14:textId="77777777" w:rsidR="00EC59DF" w:rsidRPr="0061098D" w:rsidRDefault="00EC59D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B89A1" w14:textId="08F9DECE" w:rsidR="00CC2CE5" w:rsidRPr="009F07A6" w:rsidRDefault="00CC2CE5" w:rsidP="009F07A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9F07A6">
        <w:rPr>
          <w:b/>
          <w:sz w:val="40"/>
          <w:szCs w:val="40"/>
        </w:rPr>
        <w:t xml:space="preserve">Tag der Bauwirtschaft am </w:t>
      </w:r>
      <w:r w:rsidR="008B1ABE" w:rsidRPr="009F07A6">
        <w:rPr>
          <w:b/>
          <w:sz w:val="40"/>
          <w:szCs w:val="40"/>
        </w:rPr>
        <w:t>3.11.2022</w:t>
      </w:r>
    </w:p>
    <w:p w14:paraId="71DBE4CA" w14:textId="77777777" w:rsidR="00E370EC" w:rsidRPr="002871EB" w:rsidRDefault="00E370EC" w:rsidP="009F07A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14:paraId="0731871B" w14:textId="77777777" w:rsidR="009F07A6" w:rsidRDefault="00387487" w:rsidP="009F07A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  <w:lang w:eastAsia="de-DE"/>
        </w:rPr>
      </w:pPr>
      <w:r>
        <w:rPr>
          <w:rFonts w:cs="Calibri"/>
          <w:b/>
          <w:sz w:val="24"/>
          <w:szCs w:val="24"/>
          <w:lang w:eastAsia="de-DE"/>
        </w:rPr>
        <w:t>B</w:t>
      </w:r>
      <w:r w:rsidR="007D2140" w:rsidRPr="00B14C69">
        <w:rPr>
          <w:rFonts w:cs="Calibri"/>
          <w:b/>
          <w:sz w:val="24"/>
          <w:szCs w:val="24"/>
          <w:lang w:eastAsia="de-DE"/>
        </w:rPr>
        <w:t>au- und Ausbauhandwerk</w:t>
      </w:r>
      <w:r w:rsidR="009D4689">
        <w:rPr>
          <w:rFonts w:cs="Calibri"/>
          <w:b/>
          <w:sz w:val="24"/>
          <w:szCs w:val="24"/>
          <w:lang w:eastAsia="de-DE"/>
        </w:rPr>
        <w:t xml:space="preserve"> </w:t>
      </w:r>
      <w:r w:rsidR="009F07A6">
        <w:rPr>
          <w:rFonts w:cs="Calibri"/>
          <w:b/>
          <w:sz w:val="24"/>
          <w:szCs w:val="24"/>
          <w:lang w:eastAsia="de-DE"/>
        </w:rPr>
        <w:t xml:space="preserve">im Dialog mit Minister Olaf </w:t>
      </w:r>
      <w:proofErr w:type="spellStart"/>
      <w:r w:rsidR="009F07A6">
        <w:rPr>
          <w:rFonts w:cs="Calibri"/>
          <w:b/>
          <w:sz w:val="24"/>
          <w:szCs w:val="24"/>
          <w:lang w:eastAsia="de-DE"/>
        </w:rPr>
        <w:t>Lies</w:t>
      </w:r>
      <w:proofErr w:type="spellEnd"/>
      <w:r w:rsidR="009F07A6">
        <w:rPr>
          <w:rFonts w:cs="Calibri"/>
          <w:b/>
          <w:sz w:val="24"/>
          <w:szCs w:val="24"/>
          <w:lang w:eastAsia="de-DE"/>
        </w:rPr>
        <w:t>:</w:t>
      </w:r>
    </w:p>
    <w:p w14:paraId="73B91365" w14:textId="72822E27" w:rsidR="007D2140" w:rsidRDefault="00684EB7" w:rsidP="009F07A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  <w:lang w:eastAsia="de-DE"/>
        </w:rPr>
      </w:pPr>
      <w:r>
        <w:rPr>
          <w:rFonts w:cs="Calibri"/>
          <w:b/>
          <w:sz w:val="24"/>
          <w:szCs w:val="24"/>
          <w:lang w:eastAsia="de-DE"/>
        </w:rPr>
        <w:t>„</w:t>
      </w:r>
      <w:r w:rsidR="00D35FAB">
        <w:rPr>
          <w:rFonts w:cs="Calibri"/>
          <w:b/>
          <w:sz w:val="24"/>
          <w:szCs w:val="24"/>
          <w:lang w:eastAsia="de-DE"/>
        </w:rPr>
        <w:t xml:space="preserve">Wir </w:t>
      </w:r>
      <w:r w:rsidR="009D4689">
        <w:rPr>
          <w:rFonts w:cs="Calibri"/>
          <w:b/>
          <w:sz w:val="24"/>
          <w:szCs w:val="24"/>
          <w:lang w:eastAsia="de-DE"/>
        </w:rPr>
        <w:t xml:space="preserve">sind Träger der Energiewende – </w:t>
      </w:r>
      <w:r w:rsidR="006C3627">
        <w:rPr>
          <w:rFonts w:cs="Calibri"/>
          <w:b/>
          <w:sz w:val="24"/>
          <w:szCs w:val="24"/>
          <w:lang w:eastAsia="de-DE"/>
        </w:rPr>
        <w:t>aber</w:t>
      </w:r>
      <w:r w:rsidR="009D4689">
        <w:rPr>
          <w:rFonts w:cs="Calibri"/>
          <w:b/>
          <w:sz w:val="24"/>
          <w:szCs w:val="24"/>
          <w:lang w:eastAsia="de-DE"/>
        </w:rPr>
        <w:t xml:space="preserve"> die Rahmenbedingungen </w:t>
      </w:r>
      <w:r w:rsidR="006C3627">
        <w:rPr>
          <w:rFonts w:cs="Calibri"/>
          <w:b/>
          <w:sz w:val="24"/>
          <w:szCs w:val="24"/>
          <w:lang w:eastAsia="de-DE"/>
        </w:rPr>
        <w:t xml:space="preserve">müssen </w:t>
      </w:r>
      <w:r w:rsidR="009D4689">
        <w:rPr>
          <w:rFonts w:cs="Calibri"/>
          <w:b/>
          <w:sz w:val="24"/>
          <w:szCs w:val="24"/>
          <w:lang w:eastAsia="de-DE"/>
        </w:rPr>
        <w:t xml:space="preserve">stimmen!“ </w:t>
      </w:r>
    </w:p>
    <w:p w14:paraId="1E29F36B" w14:textId="77777777" w:rsidR="00B14C69" w:rsidRPr="00B14C69" w:rsidRDefault="00B14C69" w:rsidP="00B14C69">
      <w:pPr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4A6C0EBC" w14:textId="69C63522" w:rsidR="00001262" w:rsidRDefault="00B14C69" w:rsidP="002C4BBD">
      <w:pPr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 w:rsidRPr="00B14C69">
        <w:rPr>
          <w:rFonts w:ascii="Calibri" w:eastAsia="Times New Roman" w:hAnsi="Calibri" w:cs="Calibri"/>
          <w:bCs/>
          <w:sz w:val="23"/>
          <w:szCs w:val="23"/>
          <w:lang w:eastAsia="de-DE"/>
        </w:rPr>
        <w:t>„</w:t>
      </w:r>
      <w:r w:rsidR="009D468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Die Sanierung im Bestand 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bietet ein enormes Potenzial für den Klimaschutz – aber dafür müssten wir durchstarten können! </w:t>
      </w:r>
      <w:r w:rsidR="0062005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Die Angst vor der Inflation lässt viele Verbraucher zögern vor Investitionsentscheidungen – aber das ist es nicht allein. Es gibt 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zu viele </w:t>
      </w:r>
      <w:r w:rsidR="0062005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weitere </w:t>
      </w:r>
      <w:r w:rsidR="000B0743">
        <w:rPr>
          <w:rFonts w:ascii="Calibri" w:eastAsia="Times New Roman" w:hAnsi="Calibri" w:cs="Calibri"/>
          <w:bCs/>
          <w:sz w:val="23"/>
          <w:szCs w:val="23"/>
          <w:lang w:eastAsia="de-DE"/>
        </w:rPr>
        <w:t>Bremsklötze für die Betriebe. Diese müssen a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>us dem Weg geräumt werden</w:t>
      </w:r>
      <w:r w:rsidR="000B074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>– gemeinsam mit der Politik auf Landes- und Bundesebene!“</w:t>
      </w:r>
      <w:r w:rsidR="007D214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2C4BBD">
        <w:rPr>
          <w:rFonts w:ascii="Calibri" w:eastAsia="Times New Roman" w:hAnsi="Calibri" w:cs="Calibri"/>
          <w:bCs/>
          <w:sz w:val="23"/>
          <w:szCs w:val="23"/>
          <w:lang w:eastAsia="de-DE"/>
        </w:rPr>
        <w:br/>
      </w:r>
      <w:r w:rsidR="0000126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Mit </w:t>
      </w:r>
      <w:r w:rsidRPr="00B14C69">
        <w:rPr>
          <w:rFonts w:ascii="Calibri" w:eastAsia="Times New Roman" w:hAnsi="Calibri" w:cs="Calibri"/>
          <w:bCs/>
          <w:sz w:val="23"/>
          <w:szCs w:val="23"/>
          <w:lang w:eastAsia="de-DE"/>
        </w:rPr>
        <w:t>diese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n Worten begrüßte </w:t>
      </w:r>
      <w:r w:rsidRPr="00B14C69">
        <w:rPr>
          <w:rFonts w:ascii="Calibri" w:eastAsia="Times New Roman" w:hAnsi="Calibri" w:cs="Calibri"/>
          <w:bCs/>
          <w:sz w:val="23"/>
          <w:szCs w:val="23"/>
          <w:lang w:eastAsia="de-DE"/>
        </w:rPr>
        <w:t>der Präsident der Landesvereinigung Bauwirt</w:t>
      </w:r>
      <w:r w:rsidR="00A44F03">
        <w:rPr>
          <w:rFonts w:ascii="Calibri" w:eastAsia="Times New Roman" w:hAnsi="Calibri" w:cs="Calibri"/>
          <w:bCs/>
          <w:sz w:val="23"/>
          <w:szCs w:val="23"/>
          <w:lang w:eastAsia="de-DE"/>
        </w:rPr>
        <w:softHyphen/>
      </w:r>
      <w:r w:rsidRPr="00B14C69">
        <w:rPr>
          <w:rFonts w:ascii="Calibri" w:eastAsia="Times New Roman" w:hAnsi="Calibri" w:cs="Calibri"/>
          <w:bCs/>
          <w:sz w:val="23"/>
          <w:szCs w:val="23"/>
          <w:lang w:eastAsia="de-DE"/>
        </w:rPr>
        <w:t>schaf</w:t>
      </w:r>
      <w:r w:rsidR="00491B8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t, 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>Frank Senger</w:t>
      </w:r>
      <w:r w:rsidR="00B038D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die</w:t>
      </w:r>
      <w:r w:rsidR="0000126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Pr="00B14C6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Gäste </w:t>
      </w:r>
      <w:r w:rsidR="00684EB7">
        <w:rPr>
          <w:rFonts w:ascii="Calibri" w:eastAsia="Times New Roman" w:hAnsi="Calibri" w:cs="Calibri"/>
          <w:bCs/>
          <w:sz w:val="23"/>
          <w:szCs w:val="23"/>
          <w:lang w:eastAsia="de-DE"/>
        </w:rPr>
        <w:t>des Tages der Bauwirtschaft 20</w:t>
      </w:r>
      <w:r w:rsidR="00FB5508">
        <w:rPr>
          <w:rFonts w:ascii="Calibri" w:eastAsia="Times New Roman" w:hAnsi="Calibri" w:cs="Calibri"/>
          <w:bCs/>
          <w:sz w:val="23"/>
          <w:szCs w:val="23"/>
          <w:lang w:eastAsia="de-DE"/>
        </w:rPr>
        <w:t>22</w:t>
      </w:r>
      <w:r w:rsidR="00684EB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in Hannover. </w:t>
      </w:r>
    </w:p>
    <w:p w14:paraId="45169151" w14:textId="25221D1B" w:rsidR="005F4EF0" w:rsidRDefault="005F4EF0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Besonders begrüßt wurde Umweltminister</w:t>
      </w:r>
      <w:r w:rsidR="000B074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Olaf </w:t>
      </w:r>
      <w:proofErr w:type="spellStart"/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Lies</w:t>
      </w:r>
      <w:proofErr w:type="spellEnd"/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: „Wir freuen uns, dass Ihnen der Baubereich so am Herzen liegt, dass er zukünftig auch zu Ihren Aufgaben als Wirtschaftsminister gehört!“, so Senger.</w:t>
      </w:r>
    </w:p>
    <w:p w14:paraId="19534D51" w14:textId="7C4B245A" w:rsidR="00830C69" w:rsidRDefault="005F4EF0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In der anschließenden Gesprächsrunde</w:t>
      </w:r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mit Unternehmern aus den Mitgliedsverbänden der </w:t>
      </w:r>
      <w:proofErr w:type="gramStart"/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>LV Bau</w:t>
      </w:r>
      <w:r w:rsidR="00185B03">
        <w:rPr>
          <w:rFonts w:ascii="Calibri" w:eastAsia="Times New Roman" w:hAnsi="Calibri" w:cs="Calibri"/>
          <w:bCs/>
          <w:sz w:val="23"/>
          <w:szCs w:val="23"/>
          <w:lang w:eastAsia="de-DE"/>
        </w:rPr>
        <w:t>wirtschaft</w:t>
      </w:r>
      <w:proofErr w:type="gramEnd"/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bekamen die Gäste einen </w:t>
      </w:r>
      <w:r w:rsidR="00830C6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persönlichen Eindruck </w:t>
      </w:r>
      <w:r w:rsidR="00F274D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der </w:t>
      </w:r>
      <w:r w:rsidR="00347D72">
        <w:rPr>
          <w:rFonts w:ascii="Calibri" w:eastAsia="Times New Roman" w:hAnsi="Calibri" w:cs="Calibri"/>
          <w:bCs/>
          <w:sz w:val="23"/>
          <w:szCs w:val="23"/>
          <w:lang w:eastAsia="de-DE"/>
        </w:rPr>
        <w:t>Bremsklötze</w:t>
      </w:r>
      <w:r w:rsidR="00F274D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, für deren Beseitigung politischer Rückenwind 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nötig wäre: </w:t>
      </w:r>
    </w:p>
    <w:p w14:paraId="634262C7" w14:textId="77777777" w:rsidR="008B22CD" w:rsidRDefault="00830C69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Frank Senger </w:t>
      </w:r>
      <w:r w:rsidR="00D577B7">
        <w:rPr>
          <w:rFonts w:ascii="Calibri" w:eastAsia="Times New Roman" w:hAnsi="Calibri" w:cs="Calibri"/>
          <w:bCs/>
          <w:sz w:val="23"/>
          <w:szCs w:val="23"/>
          <w:lang w:eastAsia="de-DE"/>
        </w:rPr>
        <w:t>warnte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D577B7">
        <w:rPr>
          <w:rFonts w:ascii="Calibri" w:eastAsia="Times New Roman" w:hAnsi="Calibri" w:cs="Calibri"/>
          <w:bCs/>
          <w:sz w:val="23"/>
          <w:szCs w:val="23"/>
          <w:lang w:eastAsia="de-DE"/>
        </w:rPr>
        <w:t>bei der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Sanierung im Bestand</w:t>
      </w:r>
      <w:r w:rsidR="00D577B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vor politischen Einbahnstraßen:</w:t>
      </w:r>
    </w:p>
    <w:p w14:paraId="001224AA" w14:textId="306EBC55" w:rsidR="00B038DE" w:rsidRDefault="00D577B7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„Wir brauchen </w:t>
      </w:r>
      <w:r w:rsidR="00830C69">
        <w:rPr>
          <w:rFonts w:ascii="Calibri" w:eastAsia="Times New Roman" w:hAnsi="Calibri" w:cs="Calibri"/>
          <w:bCs/>
          <w:sz w:val="23"/>
          <w:szCs w:val="23"/>
          <w:lang w:eastAsia="de-DE"/>
        </w:rPr>
        <w:t>Technologieoffenheit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au</w:t>
      </w:r>
      <w:r w:rsidR="00D504FA">
        <w:rPr>
          <w:rFonts w:ascii="Calibri" w:eastAsia="Times New Roman" w:hAnsi="Calibri" w:cs="Calibri"/>
          <w:bCs/>
          <w:sz w:val="23"/>
          <w:szCs w:val="23"/>
          <w:lang w:eastAsia="de-DE"/>
        </w:rPr>
        <w:t>ch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bei der Ausgestaltung von Förderprogrammen - die</w:t>
      </w:r>
      <w:r w:rsidR="00830C6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Wärmepumpe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ist</w:t>
      </w:r>
      <w:r w:rsidR="00830C6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zwar </w:t>
      </w:r>
      <w:r w:rsidR="00830C69">
        <w:rPr>
          <w:rFonts w:ascii="Calibri" w:eastAsia="Times New Roman" w:hAnsi="Calibri" w:cs="Calibri"/>
          <w:bCs/>
          <w:sz w:val="23"/>
          <w:szCs w:val="23"/>
          <w:lang w:eastAsia="de-DE"/>
        </w:rPr>
        <w:t>oft das Mittel der Wahl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– aber eben nicht immer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.“  Den 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>Verbrauchern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dürfe</w:t>
      </w:r>
      <w:r w:rsidR="00657A61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kein Sand in die Augen gestreut werden – allein der Einbau einer Pumpe reiche nicht.</w:t>
      </w:r>
      <w:r w:rsidR="00B038D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Vielmehr sei das gebäudespezifische Auslegen zwingend erforderlich.</w:t>
      </w:r>
      <w:r w:rsidR="009F07A6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Und auch der Vorwurf, das Handwerk sei der „Flaschenhals“ sei schlicht falsch – eine aktuelle Umfrage allein bei den Innungen organsierten Betrieben habe gezeigt, dass </w:t>
      </w:r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die Betriebe </w:t>
      </w:r>
      <w:proofErr w:type="gramStart"/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>bereit stünden</w:t>
      </w:r>
      <w:proofErr w:type="gramEnd"/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– wenn denn das Material vorrätig wäre.</w:t>
      </w:r>
    </w:p>
    <w:p w14:paraId="7CCF922F" w14:textId="6C8B75D8" w:rsidR="0067757B" w:rsidRDefault="00657A61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Christan Staub</w:t>
      </w:r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, Präsident des Baugewerbe-Verbandes, </w:t>
      </w:r>
      <w:r w:rsidR="00D577B7">
        <w:rPr>
          <w:rFonts w:ascii="Calibri" w:eastAsia="Times New Roman" w:hAnsi="Calibri" w:cs="Calibri"/>
          <w:bCs/>
          <w:sz w:val="23"/>
          <w:szCs w:val="23"/>
          <w:lang w:eastAsia="de-DE"/>
        </w:rPr>
        <w:t>warb</w:t>
      </w:r>
      <w:r w:rsidR="00D504F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mit Blick auf den Straßenbau dafür, endlich die Hemmnisse für den Einsatz von Recycling-Baustoffen zu beseitigen: „Wir könnten in viel größerem Umfang als bisher gütegesicherte recycelte Baustoffe einsetzen – aber die Akzeptanz bei den Auftraggebern fehlt“.</w:t>
      </w:r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Um diese zu erhöhen, müsse dringend der „Abfallstatus“ für die Recycling-Baustoffe entfallen und eine Gleichstellung mit Primärbaustoffen erfolgen. Obwohl dies seit Jahren gefordert werde, hätte auch die neue Er</w:t>
      </w:r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>s</w:t>
      </w:r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atzbaustoffverordnung hier eher die Situation </w:t>
      </w:r>
      <w:proofErr w:type="gramStart"/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>verschlechtert  -</w:t>
      </w:r>
      <w:proofErr w:type="gramEnd"/>
      <w:r w:rsidR="003D502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dies sei frustrierend, da dadurch noch mehr </w:t>
      </w:r>
      <w:r w:rsidR="005C5795">
        <w:rPr>
          <w:rFonts w:ascii="Calibri" w:eastAsia="Times New Roman" w:hAnsi="Calibri" w:cs="Calibri"/>
          <w:bCs/>
          <w:sz w:val="23"/>
          <w:szCs w:val="23"/>
          <w:lang w:eastAsia="de-DE"/>
        </w:rPr>
        <w:t>Material auf den Deponien</w:t>
      </w:r>
      <w:r w:rsidR="00B038D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lande</w:t>
      </w:r>
      <w:r w:rsidR="005C5795">
        <w:rPr>
          <w:rFonts w:ascii="Calibri" w:eastAsia="Times New Roman" w:hAnsi="Calibri" w:cs="Calibri"/>
          <w:bCs/>
          <w:sz w:val="23"/>
          <w:szCs w:val="23"/>
          <w:lang w:eastAsia="de-DE"/>
        </w:rPr>
        <w:t>, das dort eigentlich nicht hingehöre</w:t>
      </w:r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. Und </w:t>
      </w:r>
      <w:proofErr w:type="gramStart"/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>das</w:t>
      </w:r>
      <w:proofErr w:type="gramEnd"/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>, obwohl Deponiekapazitäten fehlen, so dass zusätzlich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umweltbelastende „Abfall-Transporte“ erforderlich würden</w:t>
      </w:r>
      <w:r w:rsidR="0067757B">
        <w:rPr>
          <w:rFonts w:ascii="Calibri" w:eastAsia="Times New Roman" w:hAnsi="Calibri" w:cs="Calibri"/>
          <w:bCs/>
          <w:sz w:val="23"/>
          <w:szCs w:val="23"/>
          <w:lang w:eastAsia="de-DE"/>
        </w:rPr>
        <w:t>.</w:t>
      </w:r>
    </w:p>
    <w:p w14:paraId="1744B5A9" w14:textId="60B51DE7" w:rsidR="006911CC" w:rsidRDefault="00200137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Wie </w:t>
      </w:r>
      <w:r w:rsidR="0065379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wichtig das rechtzeitige Abfedern der 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Energiepreissteigerungen </w:t>
      </w:r>
      <w:r w:rsidR="0065379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auch für die 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Betriebe im Bau, Ausbau und der Gebäudedienstleistung </w:t>
      </w:r>
      <w:r w:rsidR="0065379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ist, 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erläuterte </w:t>
      </w:r>
      <w:r w:rsidR="00620051">
        <w:rPr>
          <w:rFonts w:ascii="Calibri" w:eastAsia="Times New Roman" w:hAnsi="Calibri" w:cs="Calibri"/>
          <w:bCs/>
          <w:sz w:val="23"/>
          <w:szCs w:val="23"/>
          <w:lang w:eastAsia="de-DE"/>
        </w:rPr>
        <w:t>Matthias Winter</w:t>
      </w:r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>, LIM des Tischlerverbands</w:t>
      </w:r>
      <w:r w:rsidR="00850FF9">
        <w:rPr>
          <w:rFonts w:ascii="Calibri" w:eastAsia="Times New Roman" w:hAnsi="Calibri" w:cs="Calibri"/>
          <w:bCs/>
          <w:sz w:val="23"/>
          <w:szCs w:val="23"/>
          <w:lang w:eastAsia="de-DE"/>
        </w:rPr>
        <w:t>: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„</w:t>
      </w:r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Wenn uns die Baustoffe ausgehen, 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>w</w:t>
      </w:r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>eil unsere Zulieferer ihr</w:t>
      </w:r>
      <w:r w:rsidR="00AB5404">
        <w:rPr>
          <w:rFonts w:ascii="Calibri" w:eastAsia="Times New Roman" w:hAnsi="Calibri" w:cs="Calibri"/>
          <w:bCs/>
          <w:sz w:val="23"/>
          <w:szCs w:val="23"/>
          <w:lang w:eastAsia="de-DE"/>
        </w:rPr>
        <w:t>e</w:t>
      </w:r>
      <w:r w:rsidR="00337AC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Produktion wegen zu hoher Energiepreise drosseln oder sogar einstellen – dann können wir nicht arbeiten, müssen unsere Mitarbeiter/Innen in Kurzarbeit </w:t>
      </w:r>
      <w:r w:rsidR="00AB540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schicken und die Klimawende bleibt auf der Strecke.“ </w:t>
      </w:r>
      <w:r w:rsidR="00AA0085">
        <w:rPr>
          <w:rFonts w:ascii="Calibri" w:eastAsia="Times New Roman" w:hAnsi="Calibri" w:cs="Calibri"/>
          <w:bCs/>
          <w:sz w:val="23"/>
          <w:szCs w:val="23"/>
          <w:lang w:eastAsia="de-DE"/>
        </w:rPr>
        <w:t>Zudem machte</w:t>
      </w:r>
      <w:r w:rsidR="00AA034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er</w:t>
      </w:r>
      <w:r w:rsidR="00AA0085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u.a. mit Blick auf die Taxonomie deutlich, </w:t>
      </w:r>
      <w:r w:rsidR="00E7708E">
        <w:rPr>
          <w:rFonts w:ascii="Calibri" w:eastAsia="Times New Roman" w:hAnsi="Calibri" w:cs="Calibri"/>
          <w:bCs/>
          <w:sz w:val="23"/>
          <w:szCs w:val="23"/>
          <w:lang w:eastAsia="de-DE"/>
        </w:rPr>
        <w:t>wie wichtig es sei</w:t>
      </w:r>
      <w:r w:rsidR="00185B03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, die Betriebe in der aktuellen Situation vor weiteren 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überproportionalen </w:t>
      </w:r>
      <w:r w:rsidR="00185B03">
        <w:rPr>
          <w:rFonts w:ascii="Calibri" w:eastAsia="Times New Roman" w:hAnsi="Calibri" w:cs="Calibri"/>
          <w:bCs/>
          <w:sz w:val="23"/>
          <w:szCs w:val="23"/>
          <w:lang w:eastAsia="de-DE"/>
        </w:rPr>
        <w:t>Belastungen durch Dokumentationspflichten zu schützen</w:t>
      </w:r>
      <w:r w:rsidR="0067757B">
        <w:rPr>
          <w:rFonts w:ascii="Calibri" w:eastAsia="Times New Roman" w:hAnsi="Calibri" w:cs="Calibri"/>
          <w:bCs/>
          <w:sz w:val="23"/>
          <w:szCs w:val="23"/>
          <w:lang w:eastAsia="de-DE"/>
        </w:rPr>
        <w:t>.</w:t>
      </w:r>
      <w:r w:rsidR="006911C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</w:p>
    <w:p w14:paraId="5FF7588A" w14:textId="3EAE3C83" w:rsidR="008C6407" w:rsidRDefault="00AA034C" w:rsidP="00CB2A8F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lastRenderedPageBreak/>
        <w:t>Angesichts des</w:t>
      </w:r>
      <w:r w:rsidR="006911C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Fachkräftebedarf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s</w:t>
      </w:r>
      <w:r w:rsidR="006911C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forderte Karsten </w:t>
      </w:r>
      <w:proofErr w:type="spellStart"/>
      <w:r w:rsidR="006911CC">
        <w:rPr>
          <w:rFonts w:ascii="Calibri" w:eastAsia="Times New Roman" w:hAnsi="Calibri" w:cs="Calibri"/>
          <w:bCs/>
          <w:sz w:val="23"/>
          <w:szCs w:val="23"/>
          <w:lang w:eastAsia="de-DE"/>
        </w:rPr>
        <w:t>Krügener</w:t>
      </w:r>
      <w:proofErr w:type="spellEnd"/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6911CC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die rechtzeitige </w:t>
      </w:r>
      <w:r w:rsidR="00BC2AF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Berufsorientierung </w:t>
      </w:r>
      <w:r w:rsidR="00001D94">
        <w:rPr>
          <w:rFonts w:ascii="Calibri" w:eastAsia="Times New Roman" w:hAnsi="Calibri" w:cs="Calibri"/>
          <w:bCs/>
          <w:sz w:val="23"/>
          <w:szCs w:val="23"/>
          <w:lang w:eastAsia="de-DE"/>
        </w:rPr>
        <w:t>endlich</w:t>
      </w:r>
      <w:r w:rsidR="00BC2AF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wirklich umzusetzen</w:t>
      </w:r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>.</w:t>
      </w:r>
      <w:r w:rsidR="00001D9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BC2AFA">
        <w:rPr>
          <w:rFonts w:ascii="Calibri" w:eastAsia="Times New Roman" w:hAnsi="Calibri" w:cs="Calibri"/>
          <w:bCs/>
          <w:sz w:val="23"/>
          <w:szCs w:val="23"/>
          <w:lang w:eastAsia="de-DE"/>
        </w:rPr>
        <w:t>„</w:t>
      </w:r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In der Praxis ist </w:t>
      </w:r>
      <w:r w:rsidR="00E7708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hier </w:t>
      </w:r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noch viel Luft nach oben! Wir brauchen eine Bildungswende in den Köpfen – </w:t>
      </w:r>
      <w:r w:rsidR="00001D9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nur aufgeschrieben in Wahlprogrammen und Koalitionsvereinbarungen </w:t>
      </w:r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reicht es nicht!“, so </w:t>
      </w:r>
      <w:proofErr w:type="spellStart"/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>Krügener</w:t>
      </w:r>
      <w:proofErr w:type="spellEnd"/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. Zudem müsse auch die qualifizierte Zuwanderung so </w:t>
      </w:r>
      <w:r w:rsidR="00001D9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verständlich </w:t>
      </w:r>
      <w:r w:rsidR="008C6407">
        <w:rPr>
          <w:rFonts w:ascii="Calibri" w:eastAsia="Times New Roman" w:hAnsi="Calibri" w:cs="Calibri"/>
          <w:bCs/>
          <w:sz w:val="23"/>
          <w:szCs w:val="23"/>
          <w:lang w:eastAsia="de-DE"/>
        </w:rPr>
        <w:t>geregelt werden, dass kleine und mittlere Unternehmen auf diesem Wege einen Teil der benötigen Fachkräfte gewinnen können</w:t>
      </w:r>
      <w:r w:rsidR="00001D94">
        <w:rPr>
          <w:rFonts w:ascii="Calibri" w:eastAsia="Times New Roman" w:hAnsi="Calibri" w:cs="Calibri"/>
          <w:bCs/>
          <w:sz w:val="23"/>
          <w:szCs w:val="23"/>
          <w:lang w:eastAsia="de-DE"/>
        </w:rPr>
        <w:t>.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Die Betriebe bräuchten </w:t>
      </w:r>
      <w:r w:rsidR="00850FF9">
        <w:rPr>
          <w:rFonts w:ascii="Calibri" w:eastAsia="Times New Roman" w:hAnsi="Calibri" w:cs="Calibri"/>
          <w:bCs/>
          <w:sz w:val="23"/>
          <w:szCs w:val="23"/>
          <w:lang w:eastAsia="de-DE"/>
        </w:rPr>
        <w:t>vor allem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Unterstützung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bei der sprachlichen und organis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>a</w:t>
      </w:r>
      <w:r w:rsidR="002A3F07">
        <w:rPr>
          <w:rFonts w:ascii="Calibri" w:eastAsia="Times New Roman" w:hAnsi="Calibri" w:cs="Calibri"/>
          <w:bCs/>
          <w:sz w:val="23"/>
          <w:szCs w:val="23"/>
          <w:lang w:eastAsia="de-DE"/>
        </w:rPr>
        <w:t>torischen Integrationsarbeit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der zugewanderten Fachkräfte. </w:t>
      </w:r>
    </w:p>
    <w:p w14:paraId="0CC83635" w14:textId="314063E3" w:rsidR="00F601A0" w:rsidRDefault="00C51866" w:rsidP="004B30F5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Abschließend warb Reinhard Quast, Präsident des Zentralverbands des Deutschen Baugewerbes dafür, die auf Bundesebene verabschiedeten Vorschläge des Bündnisses für Bezahlbares Wohnen nun auch </w:t>
      </w:r>
      <w:r w:rsidR="003048D7">
        <w:rPr>
          <w:rFonts w:ascii="Calibri" w:eastAsia="Times New Roman" w:hAnsi="Calibri" w:cs="Calibri"/>
          <w:bCs/>
          <w:sz w:val="23"/>
          <w:szCs w:val="23"/>
          <w:lang w:eastAsia="de-DE"/>
        </w:rPr>
        <w:t>zügig umzusetzen – mit Unterstützung aus Niedersachsen müsse es gelingen, hier insbesondere den Fokus auf den sozialen Wohnungsbau zu lenken.</w:t>
      </w:r>
      <w:r w:rsidR="004B30F5" w:rsidRPr="004B30F5">
        <w:rPr>
          <w:rFonts w:ascii="Calibri" w:eastAsiaTheme="minorHAnsi" w:hAnsi="Calibri" w:cs="Calibri"/>
          <w:i/>
          <w:iCs/>
        </w:rPr>
        <w:t xml:space="preserve"> </w:t>
      </w:r>
      <w:r w:rsidR="004B30F5" w:rsidRPr="00E7708E">
        <w:rPr>
          <w:rFonts w:ascii="Calibri" w:eastAsia="Times New Roman" w:hAnsi="Calibri" w:cs="Calibri"/>
          <w:bCs/>
          <w:sz w:val="23"/>
          <w:szCs w:val="23"/>
          <w:lang w:eastAsia="de-DE"/>
        </w:rPr>
        <w:t>Bearbeitungsfristen in Planungs- und Genehmigungsverfahren müssten dringend verkürzt werden.</w:t>
      </w:r>
      <w:r w:rsidR="0067757B" w:rsidRPr="00E7708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Zudem gelte es, den Einsatz von Mitteln für den sozialen Wohnungsbau nicht an zu hohe Energiestandards zu knüpfen. 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>Die Erstellung</w:t>
      </w:r>
      <w:r w:rsidR="00850FF9">
        <w:rPr>
          <w:rFonts w:ascii="Calibri" w:eastAsia="Times New Roman" w:hAnsi="Calibri" w:cs="Calibri"/>
          <w:bCs/>
          <w:sz w:val="23"/>
          <w:szCs w:val="23"/>
          <w:lang w:eastAsia="de-DE"/>
        </w:rPr>
        <w:t>s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kosten seien dann schlicht zu </w:t>
      </w:r>
      <w:proofErr w:type="gramStart"/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>hoch  -</w:t>
      </w:r>
      <w:proofErr w:type="gramEnd"/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eben nicht vereinbar mit den Mietvorgaben, die später einzuhalten seien – hier müsse man </w:t>
      </w:r>
      <w:r w:rsidR="00850FF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sich 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schlicht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an den 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Grundrechenarten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>orientieren:</w:t>
      </w:r>
      <w:r w:rsidR="004B30F5" w:rsidRPr="00E7708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E7708E" w:rsidRPr="00E7708E">
        <w:rPr>
          <w:rFonts w:ascii="Calibri" w:eastAsia="Times New Roman" w:hAnsi="Calibri" w:cs="Calibri"/>
          <w:bCs/>
          <w:sz w:val="23"/>
          <w:szCs w:val="23"/>
          <w:lang w:eastAsia="de-DE"/>
        </w:rPr>
        <w:t>„Nicht das Maximale fordern, sondern das Machbare fördern“- so Quast.</w:t>
      </w:r>
    </w:p>
    <w:p w14:paraId="419DF791" w14:textId="77D44739" w:rsidR="004B30F5" w:rsidRPr="00E7708E" w:rsidRDefault="004B30F5" w:rsidP="004B30F5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</w:p>
    <w:p w14:paraId="48A39718" w14:textId="0E44D4B5" w:rsidR="003429B3" w:rsidRDefault="00653793" w:rsidP="00B14C69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  <w:r w:rsidRPr="00D34CFF">
        <w:rPr>
          <w:rFonts w:ascii="Calibri" w:eastAsia="Times New Roman" w:hAnsi="Calibri" w:cs="Calibri"/>
          <w:b/>
          <w:sz w:val="23"/>
          <w:szCs w:val="23"/>
          <w:lang w:eastAsia="de-DE"/>
        </w:rPr>
        <w:t xml:space="preserve">Umweltminister Olaf </w:t>
      </w:r>
      <w:proofErr w:type="spellStart"/>
      <w:r w:rsidRPr="00D34CFF">
        <w:rPr>
          <w:rFonts w:ascii="Calibri" w:eastAsia="Times New Roman" w:hAnsi="Calibri" w:cs="Calibri"/>
          <w:b/>
          <w:sz w:val="23"/>
          <w:szCs w:val="23"/>
          <w:lang w:eastAsia="de-DE"/>
        </w:rPr>
        <w:t>Lies</w:t>
      </w:r>
      <w:proofErr w:type="spellEnd"/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>erwiderte</w:t>
      </w:r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in seiner </w:t>
      </w:r>
      <w:r w:rsidR="00684EB7">
        <w:rPr>
          <w:rFonts w:ascii="Calibri" w:eastAsia="Times New Roman" w:hAnsi="Calibri" w:cs="Calibri"/>
          <w:bCs/>
          <w:sz w:val="23"/>
          <w:szCs w:val="23"/>
          <w:lang w:eastAsia="de-DE"/>
        </w:rPr>
        <w:t>anschließenden Rede</w:t>
      </w:r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>, mit welch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>e</w:t>
      </w:r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n Schritten er </w:t>
      </w:r>
      <w:r w:rsidR="00A06CCA">
        <w:rPr>
          <w:rFonts w:ascii="Calibri" w:eastAsia="Times New Roman" w:hAnsi="Calibri" w:cs="Calibri"/>
          <w:bCs/>
          <w:sz w:val="23"/>
          <w:szCs w:val="23"/>
          <w:lang w:eastAsia="de-DE"/>
        </w:rPr>
        <w:t>-</w:t>
      </w:r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>auch in seiner neuen Funktion als Wirtschaftsminister mit Zuständigkeit für den Bau</w:t>
      </w:r>
      <w:r w:rsidR="00A06CCA">
        <w:rPr>
          <w:rFonts w:ascii="Calibri" w:eastAsia="Times New Roman" w:hAnsi="Calibri" w:cs="Calibri"/>
          <w:bCs/>
          <w:sz w:val="23"/>
          <w:szCs w:val="23"/>
          <w:lang w:eastAsia="de-DE"/>
        </w:rPr>
        <w:t>-</w:t>
      </w:r>
      <w:r w:rsidR="00C17E1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CF5F09">
        <w:rPr>
          <w:rFonts w:ascii="Calibri" w:eastAsia="Times New Roman" w:hAnsi="Calibri" w:cs="Calibri"/>
          <w:bCs/>
          <w:sz w:val="23"/>
          <w:szCs w:val="23"/>
          <w:lang w:eastAsia="de-DE"/>
        </w:rPr>
        <w:t>den beschriebenen Hemmnissen entgegenwirken wolle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. Dabei kündigte er einen engen Dialog mit den betroffenen Branchen an. </w:t>
      </w:r>
      <w:r w:rsidR="00A06CC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So werde z.B. </w:t>
      </w:r>
      <w:r w:rsidR="00CF5F09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das niedersächsische Bündnis für </w:t>
      </w:r>
      <w:r w:rsidR="00A06CCA">
        <w:rPr>
          <w:rFonts w:ascii="Calibri" w:eastAsia="Times New Roman" w:hAnsi="Calibri" w:cs="Calibri"/>
          <w:bCs/>
          <w:sz w:val="23"/>
          <w:szCs w:val="23"/>
          <w:lang w:eastAsia="de-DE"/>
        </w:rPr>
        <w:t>B</w:t>
      </w:r>
      <w:r w:rsidR="00CF5F09">
        <w:rPr>
          <w:rFonts w:ascii="Calibri" w:eastAsia="Times New Roman" w:hAnsi="Calibri" w:cs="Calibri"/>
          <w:bCs/>
          <w:sz w:val="23"/>
          <w:szCs w:val="23"/>
          <w:lang w:eastAsia="de-DE"/>
        </w:rPr>
        <w:t>ezahlbares Wohnen</w:t>
      </w:r>
      <w:r w:rsidR="00A06CC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fo</w:t>
      </w:r>
      <w:r w:rsidR="00850FF9">
        <w:rPr>
          <w:rFonts w:ascii="Calibri" w:eastAsia="Times New Roman" w:hAnsi="Calibri" w:cs="Calibri"/>
          <w:bCs/>
          <w:sz w:val="23"/>
          <w:szCs w:val="23"/>
          <w:lang w:eastAsia="de-DE"/>
        </w:rPr>
        <w:t>r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tgesetzt</w:t>
      </w:r>
      <w:r w:rsidR="0060265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und hier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der</w:t>
      </w:r>
      <w:r w:rsidR="00F601A0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in der Tat bestehende Regulierungsüberbau weiter in den Blick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genommen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: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Er plane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, die </w:t>
      </w:r>
      <w:r w:rsidR="00602654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Sanierung im Bestand 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durch eine </w:t>
      </w:r>
      <w:r w:rsidR="00602654">
        <w:rPr>
          <w:rFonts w:ascii="Calibri" w:eastAsia="Times New Roman" w:hAnsi="Calibri" w:cs="Calibri"/>
          <w:bCs/>
          <w:sz w:val="23"/>
          <w:szCs w:val="23"/>
          <w:lang w:eastAsia="de-DE"/>
        </w:rPr>
        <w:t>eigenständige oder eine in die Bauordnung integrierte Umbauverordnung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zu erleichtern. Zudem gelte es auch,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die Förderkulisse 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zu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>beobachten</w:t>
      </w:r>
      <w:r w:rsidR="003A04A2">
        <w:rPr>
          <w:rFonts w:ascii="Calibri" w:eastAsia="Times New Roman" w:hAnsi="Calibri" w:cs="Calibri"/>
          <w:bCs/>
          <w:sz w:val="23"/>
          <w:szCs w:val="23"/>
          <w:lang w:eastAsia="de-DE"/>
        </w:rPr>
        <w:t>: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Kritisch sah er die Preisentwicklung bei </w:t>
      </w:r>
      <w:r w:rsidR="00602654">
        <w:rPr>
          <w:rFonts w:ascii="Calibri" w:eastAsia="Times New Roman" w:hAnsi="Calibri" w:cs="Calibri"/>
          <w:bCs/>
          <w:sz w:val="23"/>
          <w:szCs w:val="23"/>
          <w:lang w:eastAsia="de-DE"/>
        </w:rPr>
        <w:t>einigen geförderten Materialien – es dürfe nicht sein, dass diese durch die Förderung teurer würden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. </w:t>
      </w:r>
      <w:r w:rsidR="00D34CFF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>D</w:t>
      </w:r>
      <w:r w:rsidR="00D34CFF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urch die Gründung einer Landeswohnungsbaugesellschaft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wolle er </w:t>
      </w:r>
      <w:r w:rsidR="00D34CFF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mehr Spielraum für die Schaffung von sozialem, bezahlbarem und klimagerechtem </w:t>
      </w:r>
      <w:proofErr w:type="gramStart"/>
      <w:r w:rsidR="00D34CFF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Wohnraum </w:t>
      </w:r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erreichen</w:t>
      </w:r>
      <w:proofErr w:type="gramEnd"/>
      <w:r w:rsidR="00470D8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– um auch der eingeforderten Vorbildfunktion der öffentlichen Hand Rechnung zu tragen. </w:t>
      </w:r>
      <w:r w:rsidR="00C408AA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Die Forderung nach Technologieoffenheit teilte er insoweit, als keine „einseitige Idealisierung des Stroms“ erfolgen dürfe. </w:t>
      </w:r>
    </w:p>
    <w:p w14:paraId="46E8489D" w14:textId="77777777" w:rsidR="00B14C69" w:rsidRDefault="00B14C69" w:rsidP="00B14C69">
      <w:pPr>
        <w:jc w:val="both"/>
        <w:rPr>
          <w:rFonts w:ascii="Calibri" w:eastAsia="Times New Roman" w:hAnsi="Calibri" w:cs="Calibri"/>
          <w:bCs/>
          <w:sz w:val="23"/>
          <w:szCs w:val="23"/>
          <w:lang w:eastAsia="de-DE"/>
        </w:rPr>
      </w:pPr>
    </w:p>
    <w:p w14:paraId="0A2D0461" w14:textId="5E904F9E" w:rsidR="008B1ABE" w:rsidRPr="00AA0085" w:rsidRDefault="00C23FDE" w:rsidP="008B1ABE">
      <w:pPr>
        <w:jc w:val="both"/>
        <w:rPr>
          <w:rFonts w:ascii="Calibri" w:eastAsia="Times New Roman" w:hAnsi="Calibri" w:cs="Calibri"/>
          <w:sz w:val="23"/>
          <w:szCs w:val="23"/>
          <w:lang w:eastAsia="de-DE"/>
        </w:rPr>
      </w:pP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>Abgerundet wurde die Veranstaltung</w:t>
      </w:r>
      <w:r w:rsidR="00D1696F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von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>dem</w:t>
      </w:r>
      <w:r w:rsidR="008B1AB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</w:t>
      </w:r>
      <w:r w:rsidR="008B1ABE" w:rsidRPr="008B1AB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multimedialen Musikvortrag </w:t>
      </w:r>
      <w:r w:rsidR="00387487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„Zukunftsmusik“ </w:t>
      </w:r>
      <w:r w:rsidR="008B1AB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von </w:t>
      </w:r>
      <w:r w:rsidR="00D35FAB" w:rsidRPr="008B1ABE">
        <w:rPr>
          <w:rFonts w:ascii="Calibri" w:eastAsia="Times New Roman" w:hAnsi="Calibri" w:cs="Calibri"/>
          <w:bCs/>
          <w:sz w:val="23"/>
          <w:szCs w:val="23"/>
          <w:lang w:eastAsia="de-DE"/>
        </w:rPr>
        <w:t>Songwriter, Band-Pianist</w:t>
      </w:r>
      <w:r w:rsidR="00D35FAB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und</w:t>
      </w:r>
      <w:r w:rsidR="00D35FAB" w:rsidRPr="008B1ABE">
        <w:rPr>
          <w:rFonts w:ascii="Calibri" w:eastAsia="Times New Roman" w:hAnsi="Calibri" w:cs="Calibri"/>
          <w:bCs/>
          <w:sz w:val="23"/>
          <w:szCs w:val="23"/>
          <w:lang w:eastAsia="de-DE"/>
        </w:rPr>
        <w:t xml:space="preserve"> Producer</w:t>
      </w:r>
      <w:r w:rsidR="00D35FAB">
        <w:rPr>
          <w:rFonts w:ascii="Calibri" w:eastAsia="Times New Roman" w:hAnsi="Calibri" w:cs="Calibri"/>
          <w:b/>
          <w:bCs/>
          <w:sz w:val="23"/>
          <w:szCs w:val="23"/>
          <w:lang w:eastAsia="de-DE"/>
        </w:rPr>
        <w:t xml:space="preserve"> </w:t>
      </w:r>
      <w:r w:rsidR="008B1ABE">
        <w:rPr>
          <w:rFonts w:ascii="Calibri" w:eastAsia="Times New Roman" w:hAnsi="Calibri" w:cs="Calibri"/>
          <w:b/>
          <w:bCs/>
          <w:sz w:val="23"/>
          <w:szCs w:val="23"/>
          <w:lang w:eastAsia="de-DE"/>
        </w:rPr>
        <w:t>Emanuel Koch</w:t>
      </w:r>
      <w:r w:rsidR="0085685C">
        <w:rPr>
          <w:rFonts w:ascii="Calibri" w:eastAsia="Times New Roman" w:hAnsi="Calibri" w:cs="Calibri"/>
          <w:b/>
          <w:bCs/>
          <w:sz w:val="23"/>
          <w:szCs w:val="23"/>
          <w:lang w:eastAsia="de-DE"/>
        </w:rPr>
        <w:t xml:space="preserve">.  </w:t>
      </w:r>
      <w:r w:rsidR="00D65D59">
        <w:rPr>
          <w:rFonts w:ascii="Calibri" w:eastAsia="Times New Roman" w:hAnsi="Calibri" w:cs="Calibri"/>
          <w:b/>
          <w:bCs/>
          <w:sz w:val="23"/>
          <w:szCs w:val="23"/>
          <w:lang w:eastAsia="de-DE"/>
        </w:rPr>
        <w:t xml:space="preserve"> </w:t>
      </w:r>
      <w:r w:rsidR="00D65D59" w:rsidRPr="00AA0085">
        <w:rPr>
          <w:rFonts w:ascii="Calibri" w:eastAsia="Times New Roman" w:hAnsi="Calibri" w:cs="Calibri"/>
          <w:sz w:val="23"/>
          <w:szCs w:val="23"/>
          <w:lang w:eastAsia="de-DE"/>
        </w:rPr>
        <w:t xml:space="preserve">Am Beispiel der Musikbranche machte er Mut für ein Herangehen an die anstehenden </w:t>
      </w:r>
      <w:r w:rsidR="008B1ABE" w:rsidRPr="00AA0085">
        <w:rPr>
          <w:rFonts w:ascii="Calibri" w:eastAsia="Times New Roman" w:hAnsi="Calibri" w:cs="Calibri"/>
          <w:sz w:val="23"/>
          <w:szCs w:val="23"/>
          <w:lang w:eastAsia="de-DE"/>
        </w:rPr>
        <w:t>Ver</w:t>
      </w:r>
      <w:r w:rsidR="008B1ABE" w:rsidRPr="00AA0085">
        <w:rPr>
          <w:rFonts w:ascii="Calibri" w:eastAsia="Times New Roman" w:hAnsi="Calibri" w:cs="Calibri"/>
          <w:sz w:val="23"/>
          <w:szCs w:val="23"/>
          <w:lang w:eastAsia="de-DE"/>
        </w:rPr>
        <w:softHyphen/>
        <w:t>änderungsprozesse</w:t>
      </w:r>
      <w:r w:rsidR="00D65D59" w:rsidRPr="00AA0085">
        <w:rPr>
          <w:rFonts w:ascii="Calibri" w:eastAsia="Times New Roman" w:hAnsi="Calibri" w:cs="Calibri"/>
          <w:sz w:val="23"/>
          <w:szCs w:val="23"/>
          <w:lang w:eastAsia="de-DE"/>
        </w:rPr>
        <w:t xml:space="preserve"> – auch im Bau, Ausbau und der Gebäudedienstleistung.</w:t>
      </w:r>
    </w:p>
    <w:p w14:paraId="2718A318" w14:textId="77777777" w:rsidR="00DB1D48" w:rsidRPr="00B14C69" w:rsidRDefault="00DB1D48" w:rsidP="00B14C69">
      <w:pPr>
        <w:jc w:val="both"/>
        <w:rPr>
          <w:rFonts w:ascii="Calibri" w:eastAsia="Times New Roman" w:hAnsi="Calibri" w:cs="Calibri"/>
          <w:sz w:val="23"/>
          <w:szCs w:val="23"/>
          <w:lang w:eastAsia="de-DE"/>
        </w:rPr>
      </w:pPr>
    </w:p>
    <w:sectPr w:rsidR="00DB1D48" w:rsidRPr="00B14C69" w:rsidSect="00B14C69">
      <w:headerReference w:type="default" r:id="rId16"/>
      <w:footerReference w:type="default" r:id="rId17"/>
      <w:headerReference w:type="first" r:id="rId18"/>
      <w:pgSz w:w="11906" w:h="16838"/>
      <w:pgMar w:top="1418" w:right="255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F926" w14:textId="77777777" w:rsidR="00826F2B" w:rsidRDefault="00826F2B" w:rsidP="009A2C0E">
      <w:r>
        <w:separator/>
      </w:r>
    </w:p>
  </w:endnote>
  <w:endnote w:type="continuationSeparator" w:id="0">
    <w:p w14:paraId="5CF9D30E" w14:textId="77777777" w:rsidR="00826F2B" w:rsidRDefault="00826F2B" w:rsidP="009A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A324" w14:textId="77777777" w:rsidR="00F5380D" w:rsidRDefault="00F5380D">
    <w:pPr>
      <w:pStyle w:val="Fuzeile"/>
    </w:pPr>
  </w:p>
  <w:p w14:paraId="429B7099" w14:textId="77777777" w:rsidR="00F5380D" w:rsidRDefault="00F538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3BFC" w14:textId="77777777" w:rsidR="00826F2B" w:rsidRDefault="00826F2B" w:rsidP="009A2C0E">
      <w:r>
        <w:separator/>
      </w:r>
    </w:p>
  </w:footnote>
  <w:footnote w:type="continuationSeparator" w:id="0">
    <w:p w14:paraId="78C0D1CE" w14:textId="77777777" w:rsidR="00826F2B" w:rsidRDefault="00826F2B" w:rsidP="009A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98FC" w14:textId="77777777" w:rsidR="009A2C0E" w:rsidRPr="009A2C0E" w:rsidRDefault="009A2C0E">
    <w:pPr>
      <w:pStyle w:val="Kopfzeile"/>
      <w:jc w:val="center"/>
      <w:rPr>
        <w:rFonts w:ascii="Calibri" w:hAnsi="Calibri"/>
        <w:sz w:val="20"/>
        <w:szCs w:val="20"/>
      </w:rPr>
    </w:pPr>
    <w:r w:rsidRPr="009A2C0E">
      <w:rPr>
        <w:rFonts w:ascii="Calibri" w:hAnsi="Calibri"/>
        <w:sz w:val="20"/>
        <w:szCs w:val="20"/>
      </w:rPr>
      <w:fldChar w:fldCharType="begin"/>
    </w:r>
    <w:r w:rsidRPr="009A2C0E">
      <w:rPr>
        <w:rFonts w:ascii="Calibri" w:hAnsi="Calibri"/>
        <w:sz w:val="20"/>
        <w:szCs w:val="20"/>
      </w:rPr>
      <w:instrText xml:space="preserve"> PAGE   \* MERGEFORMAT </w:instrText>
    </w:r>
    <w:r w:rsidRPr="009A2C0E">
      <w:rPr>
        <w:rFonts w:ascii="Calibri" w:hAnsi="Calibri"/>
        <w:sz w:val="20"/>
        <w:szCs w:val="20"/>
      </w:rPr>
      <w:fldChar w:fldCharType="separate"/>
    </w:r>
    <w:r w:rsidR="00E92FB1">
      <w:rPr>
        <w:rFonts w:ascii="Calibri" w:hAnsi="Calibri"/>
        <w:noProof/>
        <w:sz w:val="20"/>
        <w:szCs w:val="20"/>
      </w:rPr>
      <w:t>2</w:t>
    </w:r>
    <w:r w:rsidRPr="009A2C0E">
      <w:rPr>
        <w:rFonts w:ascii="Calibri" w:hAnsi="Calibri"/>
        <w:sz w:val="20"/>
        <w:szCs w:val="20"/>
      </w:rPr>
      <w:fldChar w:fldCharType="end"/>
    </w:r>
  </w:p>
  <w:p w14:paraId="3C5BA0F0" w14:textId="77777777" w:rsidR="009A2C0E" w:rsidRDefault="009A2C0E" w:rsidP="009A2C0E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4326" w14:textId="77777777" w:rsidR="00E72289" w:rsidRDefault="004235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E3E2534" wp14:editId="6126314D">
          <wp:simplePos x="0" y="0"/>
          <wp:positionH relativeFrom="column">
            <wp:posOffset>3279640</wp:posOffset>
          </wp:positionH>
          <wp:positionV relativeFrom="paragraph">
            <wp:posOffset>-83167</wp:posOffset>
          </wp:positionV>
          <wp:extent cx="2940863" cy="656822"/>
          <wp:effectExtent l="0" t="0" r="0" b="0"/>
          <wp:wrapNone/>
          <wp:docPr id="1" name="Bild 1" descr="O:\LV Bau\Logos\LV B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V Bau\Logos\LV B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309" cy="65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333"/>
    <w:multiLevelType w:val="hybridMultilevel"/>
    <w:tmpl w:val="B53A18B8"/>
    <w:lvl w:ilvl="0" w:tplc="3CC4B86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F3B7E"/>
    <w:multiLevelType w:val="hybridMultilevel"/>
    <w:tmpl w:val="BE28B718"/>
    <w:lvl w:ilvl="0" w:tplc="9E80088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53A"/>
    <w:multiLevelType w:val="hybridMultilevel"/>
    <w:tmpl w:val="F350D6CE"/>
    <w:lvl w:ilvl="0" w:tplc="801AC6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AB123E"/>
    <w:multiLevelType w:val="hybridMultilevel"/>
    <w:tmpl w:val="EC88A12E"/>
    <w:lvl w:ilvl="0" w:tplc="B9068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930">
    <w:abstractNumId w:val="2"/>
  </w:num>
  <w:num w:numId="2" w16cid:durableId="2071225337">
    <w:abstractNumId w:val="0"/>
  </w:num>
  <w:num w:numId="3" w16cid:durableId="1334838084">
    <w:abstractNumId w:val="1"/>
  </w:num>
  <w:num w:numId="4" w16cid:durableId="164693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67"/>
    <w:rsid w:val="00001262"/>
    <w:rsid w:val="00001D94"/>
    <w:rsid w:val="00081463"/>
    <w:rsid w:val="00095538"/>
    <w:rsid w:val="000B0743"/>
    <w:rsid w:val="00172E21"/>
    <w:rsid w:val="00185B03"/>
    <w:rsid w:val="00192B47"/>
    <w:rsid w:val="001A4877"/>
    <w:rsid w:val="001E4D77"/>
    <w:rsid w:val="001E65E0"/>
    <w:rsid w:val="001F0EAB"/>
    <w:rsid w:val="00200137"/>
    <w:rsid w:val="00211F51"/>
    <w:rsid w:val="002608E2"/>
    <w:rsid w:val="002871EB"/>
    <w:rsid w:val="002A3F07"/>
    <w:rsid w:val="002A7DBB"/>
    <w:rsid w:val="002B539C"/>
    <w:rsid w:val="002C4BBD"/>
    <w:rsid w:val="002C67EC"/>
    <w:rsid w:val="002E1598"/>
    <w:rsid w:val="003019A1"/>
    <w:rsid w:val="003048D7"/>
    <w:rsid w:val="00313227"/>
    <w:rsid w:val="003369DB"/>
    <w:rsid w:val="00337ACB"/>
    <w:rsid w:val="003429B3"/>
    <w:rsid w:val="00347D72"/>
    <w:rsid w:val="0036664A"/>
    <w:rsid w:val="00380E5A"/>
    <w:rsid w:val="00387487"/>
    <w:rsid w:val="00392FC7"/>
    <w:rsid w:val="003A04A2"/>
    <w:rsid w:val="003A33D4"/>
    <w:rsid w:val="003A7AEA"/>
    <w:rsid w:val="003B799A"/>
    <w:rsid w:val="003D502B"/>
    <w:rsid w:val="003F4DD7"/>
    <w:rsid w:val="0042356A"/>
    <w:rsid w:val="004437D8"/>
    <w:rsid w:val="00447464"/>
    <w:rsid w:val="00447BC9"/>
    <w:rsid w:val="00470D8B"/>
    <w:rsid w:val="00491B80"/>
    <w:rsid w:val="00494B5C"/>
    <w:rsid w:val="004B30F5"/>
    <w:rsid w:val="004B75AB"/>
    <w:rsid w:val="00521FAA"/>
    <w:rsid w:val="00553885"/>
    <w:rsid w:val="00562533"/>
    <w:rsid w:val="00581FCB"/>
    <w:rsid w:val="005C5795"/>
    <w:rsid w:val="005E75BC"/>
    <w:rsid w:val="005F1FD0"/>
    <w:rsid w:val="005F4EF0"/>
    <w:rsid w:val="0060203D"/>
    <w:rsid w:val="00602654"/>
    <w:rsid w:val="00607843"/>
    <w:rsid w:val="0061098D"/>
    <w:rsid w:val="00620051"/>
    <w:rsid w:val="00652555"/>
    <w:rsid w:val="00653793"/>
    <w:rsid w:val="00657A61"/>
    <w:rsid w:val="0067757B"/>
    <w:rsid w:val="00684EB7"/>
    <w:rsid w:val="006911CC"/>
    <w:rsid w:val="006C3627"/>
    <w:rsid w:val="00740D74"/>
    <w:rsid w:val="007509B8"/>
    <w:rsid w:val="00771192"/>
    <w:rsid w:val="00782CBD"/>
    <w:rsid w:val="007A2A80"/>
    <w:rsid w:val="007D2140"/>
    <w:rsid w:val="00810973"/>
    <w:rsid w:val="00815187"/>
    <w:rsid w:val="00826F2B"/>
    <w:rsid w:val="00830C69"/>
    <w:rsid w:val="008323D6"/>
    <w:rsid w:val="00846E15"/>
    <w:rsid w:val="00850FF9"/>
    <w:rsid w:val="0085685C"/>
    <w:rsid w:val="008712AD"/>
    <w:rsid w:val="008A4AFE"/>
    <w:rsid w:val="008B1ABE"/>
    <w:rsid w:val="008B22CD"/>
    <w:rsid w:val="008C6407"/>
    <w:rsid w:val="00917C07"/>
    <w:rsid w:val="00935DAC"/>
    <w:rsid w:val="00957E2C"/>
    <w:rsid w:val="00975A92"/>
    <w:rsid w:val="009A130E"/>
    <w:rsid w:val="009A2C0E"/>
    <w:rsid w:val="009D4689"/>
    <w:rsid w:val="009F07A6"/>
    <w:rsid w:val="009F5A67"/>
    <w:rsid w:val="00A06CCA"/>
    <w:rsid w:val="00A25CBE"/>
    <w:rsid w:val="00A44F03"/>
    <w:rsid w:val="00A47B5A"/>
    <w:rsid w:val="00A841FE"/>
    <w:rsid w:val="00AA0085"/>
    <w:rsid w:val="00AA034C"/>
    <w:rsid w:val="00AA5C60"/>
    <w:rsid w:val="00AB0424"/>
    <w:rsid w:val="00AB5404"/>
    <w:rsid w:val="00AC582F"/>
    <w:rsid w:val="00AC6DA2"/>
    <w:rsid w:val="00B038DE"/>
    <w:rsid w:val="00B14C69"/>
    <w:rsid w:val="00B27DFB"/>
    <w:rsid w:val="00B76BBE"/>
    <w:rsid w:val="00B8212F"/>
    <w:rsid w:val="00B86CED"/>
    <w:rsid w:val="00BC2AFA"/>
    <w:rsid w:val="00C17E17"/>
    <w:rsid w:val="00C23FDE"/>
    <w:rsid w:val="00C37063"/>
    <w:rsid w:val="00C408AA"/>
    <w:rsid w:val="00C452AB"/>
    <w:rsid w:val="00C51866"/>
    <w:rsid w:val="00C629C1"/>
    <w:rsid w:val="00C73F0B"/>
    <w:rsid w:val="00C85024"/>
    <w:rsid w:val="00C93DF8"/>
    <w:rsid w:val="00CA2F1F"/>
    <w:rsid w:val="00CA5F8F"/>
    <w:rsid w:val="00CB2A8F"/>
    <w:rsid w:val="00CC2CE5"/>
    <w:rsid w:val="00CE4F1F"/>
    <w:rsid w:val="00CF5F09"/>
    <w:rsid w:val="00D04946"/>
    <w:rsid w:val="00D1696F"/>
    <w:rsid w:val="00D34CFF"/>
    <w:rsid w:val="00D35FAB"/>
    <w:rsid w:val="00D504FA"/>
    <w:rsid w:val="00D577B7"/>
    <w:rsid w:val="00D65D59"/>
    <w:rsid w:val="00D95B7B"/>
    <w:rsid w:val="00DB1D48"/>
    <w:rsid w:val="00E075C8"/>
    <w:rsid w:val="00E36B74"/>
    <w:rsid w:val="00E370EC"/>
    <w:rsid w:val="00E44669"/>
    <w:rsid w:val="00E72289"/>
    <w:rsid w:val="00E72FEC"/>
    <w:rsid w:val="00E7708E"/>
    <w:rsid w:val="00E92FB1"/>
    <w:rsid w:val="00EA03DD"/>
    <w:rsid w:val="00EA2F43"/>
    <w:rsid w:val="00EC59DF"/>
    <w:rsid w:val="00EF4B04"/>
    <w:rsid w:val="00EF79DF"/>
    <w:rsid w:val="00F02817"/>
    <w:rsid w:val="00F15A67"/>
    <w:rsid w:val="00F274DB"/>
    <w:rsid w:val="00F42FF4"/>
    <w:rsid w:val="00F5380D"/>
    <w:rsid w:val="00F601A0"/>
    <w:rsid w:val="00F6121B"/>
    <w:rsid w:val="00F6344D"/>
    <w:rsid w:val="00F70304"/>
    <w:rsid w:val="00F961A5"/>
    <w:rsid w:val="00FB055B"/>
    <w:rsid w:val="00FB5508"/>
    <w:rsid w:val="00FD1267"/>
    <w:rsid w:val="00FF2786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98800A"/>
  <w15:docId w15:val="{15EBF727-BDD7-4000-810F-6E57EC2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12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A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5A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A2C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A2C0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A2C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C0E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F1FD0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3019A1"/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019A1"/>
    <w:rPr>
      <w:rFonts w:ascii="Calibri" w:eastAsia="Times New Roman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v-bauwirtschaft.de" TargetMode="Externa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www.lv-bauwirtschaft.de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 Hähne</dc:creator>
  <cp:lastModifiedBy>Hoeltkemeier, Cornelia</cp:lastModifiedBy>
  <cp:revision>2</cp:revision>
  <cp:lastPrinted>2018-10-28T18:40:00Z</cp:lastPrinted>
  <dcterms:created xsi:type="dcterms:W3CDTF">2022-11-06T10:42:00Z</dcterms:created>
  <dcterms:modified xsi:type="dcterms:W3CDTF">2022-11-06T10:42:00Z</dcterms:modified>
</cp:coreProperties>
</file>